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/>
        <w:jc w:val="center"/>
        <w:rPr>
          <w:b w:val="1"/>
        </w:rPr>
      </w:pPr>
      <w:bookmarkStart w:id="1" w:name="P71"/>
      <w:bookmarkEnd w:id="1"/>
      <w:r>
        <w:rPr>
          <w:b w:val="1"/>
        </w:rPr>
        <w:t xml:space="preserve">ПЕРЕЧЕНЬ </w:t>
      </w:r>
    </w:p>
    <w:p w14:paraId="02000000">
      <w:pPr>
        <w:ind w:firstLine="0"/>
        <w:jc w:val="center"/>
        <w:rPr>
          <w:b w:val="1"/>
        </w:rPr>
      </w:pPr>
      <w:r>
        <w:rPr>
          <w:b w:val="1"/>
        </w:rPr>
        <w:t>налоговых расходов Первомайского муниципального района</w:t>
      </w:r>
      <w:r>
        <w:rPr>
          <w:b w:val="1"/>
        </w:rPr>
        <w:t xml:space="preserve"> на 2023</w:t>
      </w:r>
      <w:r>
        <w:rPr>
          <w:b w:val="1"/>
        </w:rPr>
        <w:t xml:space="preserve"> год</w:t>
      </w:r>
    </w:p>
    <w:tbl>
      <w:tblPr>
        <w:tblStyle w:val="Style_1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62"/>
          <w:right w:type="dxa" w:w="62"/>
        </w:tblCellMar>
      </w:tblPr>
      <w:tblGrid>
        <w:gridCol w:w="509"/>
        <w:gridCol w:w="7571"/>
        <w:gridCol w:w="1843"/>
        <w:gridCol w:w="2693"/>
        <w:gridCol w:w="2836"/>
      </w:tblGrid>
      <w:tr>
        <w:trPr>
          <w:trHeight w:hRule="atLeast" w:val="4121"/>
        </w:trP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3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7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4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Налоговый расход (налоговая льгота, пониженные ставки, освобождения, иные  преференции по на</w:t>
            </w:r>
            <w:bookmarkStart w:id="2" w:name="_GoBack"/>
            <w:bookmarkEnd w:id="2"/>
            <w:r>
              <w:rPr>
                <w:rFonts w:ascii="Times New Roman" w:hAnsi="Times New Roman"/>
                <w:spacing w:val="-4"/>
                <w:sz w:val="24"/>
              </w:rPr>
              <w:t>логам) Первомайского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5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Куратор налогового расхода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6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(подпрограмма муниципальной программы) Первомайского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</w:rPr>
              <w:t xml:space="preserve"> и (или) направление социально-экономического развития Первомайского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</w:rPr>
              <w:t xml:space="preserve">, в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z w:val="24"/>
              </w:rPr>
              <w:t xml:space="preserve"> реализации которых установлены налоговые льготы, освобождения и иные преференций 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7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муниципальной программы (подпрограммы муниципальной программы) Первомайского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</w:rPr>
              <w:t xml:space="preserve"> и (или) цель социально-экономического развития Первомайского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</w:rPr>
              <w:t>, на достижение которой оказывает влияние налоговый расход</w:t>
            </w:r>
          </w:p>
        </w:tc>
      </w:tr>
      <w:tr>
        <w:trPr>
          <w:trHeight w:hRule="atLeast" w:val="225"/>
        </w:trP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8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9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A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B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C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25"/>
        </w:trPr>
        <w:tc>
          <w:tcPr>
            <w:tcW w:type="dxa" w:w="154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D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НАЛОГОВЫХ РАСХОДОВ НЕТ</w:t>
            </w:r>
          </w:p>
        </w:tc>
      </w:tr>
    </w:tbl>
    <w:p w14:paraId="0E000000"/>
    <w:sectPr>
      <w:pgSz w:h="11906" w:w="16838"/>
      <w:pgMar w:bottom="624" w:footer="709" w:gutter="0" w:header="709" w:left="85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9" w:type="paragraph">
    <w:name w:val="List Paragraph"/>
    <w:basedOn w:val="Style_3"/>
    <w:link w:val="Style_9_ch"/>
    <w:pPr>
      <w:ind w:firstLine="0" w:left="720"/>
      <w:contextualSpacing w:val="1"/>
    </w:pPr>
  </w:style>
  <w:style w:styleId="Style_9_ch" w:type="character">
    <w:name w:val="List Paragraph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2023-07-06T13:49:25Z</dcterms:modified>
</cp:coreProperties>
</file>