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C4C2B">
        <w:tc>
          <w:tcPr>
            <w:tcW w:w="5103" w:type="dxa"/>
          </w:tcPr>
          <w:p w:rsidR="004C4C2B" w:rsidRDefault="004C4C2B">
            <w:pPr>
              <w:autoSpaceDE w:val="0"/>
              <w:autoSpaceDN w:val="0"/>
              <w:adjustRightInd w:val="0"/>
              <w:spacing w:after="0" w:line="240" w:lineRule="auto"/>
              <w:rPr>
                <w:rFonts w:ascii="Arial" w:hAnsi="Arial" w:cs="Arial"/>
                <w:sz w:val="20"/>
                <w:szCs w:val="20"/>
              </w:rPr>
            </w:pPr>
            <w:r>
              <w:rPr>
                <w:rFonts w:ascii="Arial" w:hAnsi="Arial" w:cs="Arial"/>
                <w:sz w:val="20"/>
                <w:szCs w:val="20"/>
              </w:rPr>
              <w:t>20 апреля 2014 года</w:t>
            </w:r>
          </w:p>
        </w:tc>
        <w:tc>
          <w:tcPr>
            <w:tcW w:w="5103" w:type="dxa"/>
          </w:tcPr>
          <w:p w:rsidR="004C4C2B" w:rsidRDefault="004C4C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80-ФЗ</w:t>
            </w:r>
          </w:p>
        </w:tc>
      </w:tr>
    </w:tbl>
    <w:p w:rsidR="004C4C2B" w:rsidRDefault="004C4C2B" w:rsidP="004C4C2B">
      <w:pPr>
        <w:pBdr>
          <w:top w:val="single" w:sz="6" w:space="0" w:color="auto"/>
        </w:pBdr>
        <w:autoSpaceDE w:val="0"/>
        <w:autoSpaceDN w:val="0"/>
        <w:adjustRightInd w:val="0"/>
        <w:spacing w:before="100" w:after="100" w:line="240" w:lineRule="auto"/>
        <w:jc w:val="both"/>
        <w:rPr>
          <w:rFonts w:ascii="Arial" w:hAnsi="Arial" w:cs="Arial"/>
          <w:sz w:val="2"/>
          <w:szCs w:val="2"/>
        </w:rPr>
      </w:pPr>
    </w:p>
    <w:p w:rsidR="004C4C2B" w:rsidRDefault="004C4C2B" w:rsidP="004C4C2B">
      <w:pPr>
        <w:autoSpaceDE w:val="0"/>
        <w:autoSpaceDN w:val="0"/>
        <w:adjustRightInd w:val="0"/>
        <w:spacing w:after="0" w:line="240" w:lineRule="auto"/>
        <w:jc w:val="both"/>
        <w:outlineLvl w:val="0"/>
        <w:rPr>
          <w:rFonts w:ascii="Arial" w:hAnsi="Arial" w:cs="Arial"/>
          <w:sz w:val="20"/>
          <w:szCs w:val="20"/>
        </w:rPr>
      </w:pPr>
    </w:p>
    <w:p w:rsidR="004C4C2B" w:rsidRDefault="004C4C2B" w:rsidP="004C4C2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4C4C2B" w:rsidRDefault="004C4C2B" w:rsidP="004C4C2B">
      <w:pPr>
        <w:autoSpaceDE w:val="0"/>
        <w:autoSpaceDN w:val="0"/>
        <w:adjustRightInd w:val="0"/>
        <w:spacing w:after="0" w:line="240" w:lineRule="auto"/>
        <w:jc w:val="center"/>
        <w:rPr>
          <w:rFonts w:ascii="Arial" w:hAnsi="Arial" w:cs="Arial"/>
          <w:b/>
          <w:bCs/>
          <w:sz w:val="20"/>
          <w:szCs w:val="20"/>
        </w:rPr>
      </w:pPr>
    </w:p>
    <w:p w:rsidR="004C4C2B" w:rsidRDefault="004C4C2B" w:rsidP="004C4C2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4C4C2B" w:rsidRDefault="004C4C2B" w:rsidP="004C4C2B">
      <w:pPr>
        <w:autoSpaceDE w:val="0"/>
        <w:autoSpaceDN w:val="0"/>
        <w:adjustRightInd w:val="0"/>
        <w:spacing w:after="0" w:line="240" w:lineRule="auto"/>
        <w:jc w:val="center"/>
        <w:rPr>
          <w:rFonts w:ascii="Arial" w:hAnsi="Arial" w:cs="Arial"/>
          <w:b/>
          <w:bCs/>
          <w:sz w:val="20"/>
          <w:szCs w:val="20"/>
        </w:rPr>
      </w:pPr>
    </w:p>
    <w:p w:rsidR="004C4C2B" w:rsidRDefault="004C4C2B" w:rsidP="004C4C2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ВНЕСЕНИИ ИЗМЕНЕНИЙ</w:t>
      </w:r>
    </w:p>
    <w:p w:rsidR="004C4C2B" w:rsidRDefault="004C4C2B" w:rsidP="004C4C2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СТАТЬИ 2</w:t>
      </w:r>
      <w:proofErr w:type="gramStart"/>
      <w:r>
        <w:rPr>
          <w:rFonts w:ascii="Arial" w:hAnsi="Arial" w:cs="Arial"/>
          <w:b/>
          <w:bCs/>
          <w:sz w:val="20"/>
          <w:szCs w:val="20"/>
        </w:rPr>
        <w:t xml:space="preserve"> И</w:t>
      </w:r>
      <w:proofErr w:type="gramEnd"/>
      <w:r>
        <w:rPr>
          <w:rFonts w:ascii="Arial" w:hAnsi="Arial" w:cs="Arial"/>
          <w:b/>
          <w:bCs/>
          <w:sz w:val="20"/>
          <w:szCs w:val="20"/>
        </w:rPr>
        <w:t xml:space="preserve"> 6 ГРАДОСТРОИТЕЛЬНОГО КОДЕКСА</w:t>
      </w:r>
    </w:p>
    <w:p w:rsidR="004C4C2B" w:rsidRDefault="004C4C2B" w:rsidP="004C4C2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w:t>
      </w:r>
    </w:p>
    <w:p w:rsidR="004C4C2B" w:rsidRDefault="004C4C2B" w:rsidP="004C4C2B">
      <w:pPr>
        <w:autoSpaceDE w:val="0"/>
        <w:autoSpaceDN w:val="0"/>
        <w:adjustRightInd w:val="0"/>
        <w:spacing w:after="0" w:line="240" w:lineRule="auto"/>
        <w:jc w:val="center"/>
        <w:rPr>
          <w:rFonts w:ascii="Arial" w:hAnsi="Arial" w:cs="Arial"/>
          <w:sz w:val="20"/>
          <w:szCs w:val="20"/>
        </w:rPr>
      </w:pPr>
    </w:p>
    <w:p w:rsidR="004C4C2B" w:rsidRDefault="004C4C2B" w:rsidP="004C4C2B">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4C4C2B" w:rsidRDefault="004C4C2B" w:rsidP="004C4C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4C4C2B" w:rsidRDefault="004C4C2B" w:rsidP="004C4C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 апреля 2014 года</w:t>
      </w:r>
    </w:p>
    <w:p w:rsidR="004C4C2B" w:rsidRDefault="004C4C2B" w:rsidP="004C4C2B">
      <w:pPr>
        <w:autoSpaceDE w:val="0"/>
        <w:autoSpaceDN w:val="0"/>
        <w:adjustRightInd w:val="0"/>
        <w:spacing w:after="0" w:line="240" w:lineRule="auto"/>
        <w:jc w:val="right"/>
        <w:rPr>
          <w:rFonts w:ascii="Arial" w:hAnsi="Arial" w:cs="Arial"/>
          <w:sz w:val="20"/>
          <w:szCs w:val="20"/>
        </w:rPr>
      </w:pPr>
    </w:p>
    <w:p w:rsidR="004C4C2B" w:rsidRDefault="004C4C2B" w:rsidP="004C4C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4C4C2B" w:rsidRDefault="004C4C2B" w:rsidP="004C4C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4C4C2B" w:rsidRDefault="004C4C2B" w:rsidP="004C4C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апреля 2014 года</w:t>
      </w:r>
    </w:p>
    <w:p w:rsidR="004C4C2B" w:rsidRDefault="004C4C2B" w:rsidP="004C4C2B">
      <w:pPr>
        <w:autoSpaceDE w:val="0"/>
        <w:autoSpaceDN w:val="0"/>
        <w:adjustRightInd w:val="0"/>
        <w:spacing w:after="0" w:line="240" w:lineRule="auto"/>
        <w:ind w:firstLine="540"/>
        <w:jc w:val="both"/>
        <w:rPr>
          <w:rFonts w:ascii="Arial" w:hAnsi="Arial" w:cs="Arial"/>
          <w:sz w:val="20"/>
          <w:szCs w:val="20"/>
        </w:rPr>
      </w:pPr>
    </w:p>
    <w:p w:rsidR="004C4C2B" w:rsidRDefault="004C4C2B" w:rsidP="004C4C2B">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w:t>
      </w:r>
    </w:p>
    <w:p w:rsidR="004C4C2B" w:rsidRDefault="004C4C2B" w:rsidP="004C4C2B">
      <w:pPr>
        <w:autoSpaceDE w:val="0"/>
        <w:autoSpaceDN w:val="0"/>
        <w:adjustRightInd w:val="0"/>
        <w:spacing w:after="0" w:line="240" w:lineRule="auto"/>
        <w:ind w:firstLine="540"/>
        <w:jc w:val="both"/>
        <w:rPr>
          <w:rFonts w:ascii="Arial" w:hAnsi="Arial" w:cs="Arial"/>
          <w:sz w:val="20"/>
          <w:szCs w:val="20"/>
        </w:rPr>
      </w:pPr>
    </w:p>
    <w:p w:rsidR="004C4C2B" w:rsidRDefault="004C4C2B" w:rsidP="004C4C2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Внести в Градостроительный </w:t>
      </w:r>
      <w:hyperlink r:id="rId5"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(Собрание законодательства Российской Федерации, 2005, N 1, ст. 16; 2006, N 1, ст. 10; N 52, ст. 5498; 2007, N 31, ст. 4012; N 46, ст. 5553; 2008, N 30, ст. 3604; 2011, N 13, ст. 1688; N 30, ст. 4563, 4590; N 49, ст. 7015;</w:t>
      </w:r>
      <w:proofErr w:type="gramEnd"/>
      <w:r>
        <w:rPr>
          <w:rFonts w:ascii="Arial" w:hAnsi="Arial" w:cs="Arial"/>
          <w:sz w:val="20"/>
          <w:szCs w:val="20"/>
        </w:rPr>
        <w:t xml:space="preserve"> </w:t>
      </w:r>
      <w:proofErr w:type="gramStart"/>
      <w:r>
        <w:rPr>
          <w:rFonts w:ascii="Arial" w:hAnsi="Arial" w:cs="Arial"/>
          <w:sz w:val="20"/>
          <w:szCs w:val="20"/>
        </w:rPr>
        <w:t>2012, N 47, ст. 6390; N 53, ст. 7614) следующие изменения:</w:t>
      </w:r>
      <w:proofErr w:type="gramEnd"/>
    </w:p>
    <w:p w:rsidR="004C4C2B" w:rsidRDefault="004C4C2B" w:rsidP="004C4C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 w:history="1">
        <w:r>
          <w:rPr>
            <w:rFonts w:ascii="Arial" w:hAnsi="Arial" w:cs="Arial"/>
            <w:color w:val="0000FF"/>
            <w:sz w:val="20"/>
            <w:szCs w:val="20"/>
          </w:rPr>
          <w:t>статью 2</w:t>
        </w:r>
      </w:hyperlink>
      <w:r>
        <w:rPr>
          <w:rFonts w:ascii="Arial" w:hAnsi="Arial" w:cs="Arial"/>
          <w:sz w:val="20"/>
          <w:szCs w:val="20"/>
        </w:rPr>
        <w:t xml:space="preserve"> дополнить пунктом 10.1 следующего содержания:</w:t>
      </w:r>
    </w:p>
    <w:p w:rsidR="004C4C2B" w:rsidRDefault="004C4C2B" w:rsidP="004C4C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единство требований к порядку осуществления взаимодействия субъектов градостроительных отношений, указанных в статье 5 настоящего Кодекса</w:t>
      </w:r>
      <w:proofErr w:type="gramStart"/>
      <w:r>
        <w:rPr>
          <w:rFonts w:ascii="Arial" w:hAnsi="Arial" w:cs="Arial"/>
          <w:sz w:val="20"/>
          <w:szCs w:val="20"/>
        </w:rPr>
        <w:t>;"</w:t>
      </w:r>
      <w:proofErr w:type="gramEnd"/>
      <w:r>
        <w:rPr>
          <w:rFonts w:ascii="Arial" w:hAnsi="Arial" w:cs="Arial"/>
          <w:sz w:val="20"/>
          <w:szCs w:val="20"/>
        </w:rPr>
        <w:t>;</w:t>
      </w:r>
    </w:p>
    <w:p w:rsidR="004C4C2B" w:rsidRDefault="004C4C2B" w:rsidP="004C4C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7" w:history="1">
        <w:r>
          <w:rPr>
            <w:rFonts w:ascii="Arial" w:hAnsi="Arial" w:cs="Arial"/>
            <w:color w:val="0000FF"/>
            <w:sz w:val="20"/>
            <w:szCs w:val="20"/>
          </w:rPr>
          <w:t>статье 6</w:t>
        </w:r>
      </w:hyperlink>
      <w:r>
        <w:rPr>
          <w:rFonts w:ascii="Arial" w:hAnsi="Arial" w:cs="Arial"/>
          <w:sz w:val="20"/>
          <w:szCs w:val="20"/>
        </w:rPr>
        <w:t>:</w:t>
      </w:r>
    </w:p>
    <w:p w:rsidR="004C4C2B" w:rsidRDefault="004C4C2B" w:rsidP="004C4C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8" w:history="1">
        <w:r>
          <w:rPr>
            <w:rFonts w:ascii="Arial" w:hAnsi="Arial" w:cs="Arial"/>
            <w:color w:val="0000FF"/>
            <w:sz w:val="20"/>
            <w:szCs w:val="20"/>
          </w:rPr>
          <w:t>абзац первый</w:t>
        </w:r>
      </w:hyperlink>
      <w:r>
        <w:rPr>
          <w:rFonts w:ascii="Arial" w:hAnsi="Arial" w:cs="Arial"/>
          <w:sz w:val="20"/>
          <w:szCs w:val="20"/>
        </w:rPr>
        <w:t xml:space="preserve"> изложить в следующей редакции:</w:t>
      </w:r>
    </w:p>
    <w:p w:rsidR="004C4C2B" w:rsidRDefault="004C4C2B" w:rsidP="004C4C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в области градостроительной деятельности относятся</w:t>
      </w:r>
      <w:proofErr w:type="gramStart"/>
      <w:r>
        <w:rPr>
          <w:rFonts w:ascii="Arial" w:hAnsi="Arial" w:cs="Arial"/>
          <w:sz w:val="20"/>
          <w:szCs w:val="20"/>
        </w:rPr>
        <w:t>:"</w:t>
      </w:r>
      <w:proofErr w:type="gramEnd"/>
      <w:r>
        <w:rPr>
          <w:rFonts w:ascii="Arial" w:hAnsi="Arial" w:cs="Arial"/>
          <w:sz w:val="20"/>
          <w:szCs w:val="20"/>
        </w:rPr>
        <w:t>;</w:t>
      </w:r>
    </w:p>
    <w:p w:rsidR="004C4C2B" w:rsidRDefault="004C4C2B" w:rsidP="004C4C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9" w:history="1">
        <w:r>
          <w:rPr>
            <w:rFonts w:ascii="Arial" w:hAnsi="Arial" w:cs="Arial"/>
            <w:color w:val="0000FF"/>
            <w:sz w:val="20"/>
            <w:szCs w:val="20"/>
          </w:rPr>
          <w:t>дополнить</w:t>
        </w:r>
      </w:hyperlink>
      <w:r>
        <w:rPr>
          <w:rFonts w:ascii="Arial" w:hAnsi="Arial" w:cs="Arial"/>
          <w:sz w:val="20"/>
          <w:szCs w:val="20"/>
        </w:rPr>
        <w:t xml:space="preserve"> пунктом 7.4 следующего содержания:</w:t>
      </w:r>
    </w:p>
    <w:p w:rsidR="004C4C2B" w:rsidRDefault="004C4C2B" w:rsidP="004C4C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w:t>
      </w:r>
      <w:proofErr w:type="gramEnd"/>
      <w:r>
        <w:rPr>
          <w:rFonts w:ascii="Arial" w:hAnsi="Arial" w:cs="Arial"/>
          <w:sz w:val="20"/>
          <w:szCs w:val="20"/>
        </w:rPr>
        <w:t xml:space="preserve">,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w:t>
      </w:r>
      <w:proofErr w:type="gramStart"/>
      <w:r>
        <w:rPr>
          <w:rFonts w:ascii="Arial" w:hAnsi="Arial" w:cs="Arial"/>
          <w:sz w:val="20"/>
          <w:szCs w:val="20"/>
        </w:rPr>
        <w:t>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roofErr w:type="gramEnd"/>
    </w:p>
    <w:p w:rsidR="004C4C2B" w:rsidRDefault="004C4C2B" w:rsidP="004C4C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0" w:history="1">
        <w:r>
          <w:rPr>
            <w:rFonts w:ascii="Arial" w:hAnsi="Arial" w:cs="Arial"/>
            <w:color w:val="0000FF"/>
            <w:sz w:val="20"/>
            <w:szCs w:val="20"/>
          </w:rPr>
          <w:t>дополнить</w:t>
        </w:r>
      </w:hyperlink>
      <w:r>
        <w:rPr>
          <w:rFonts w:ascii="Arial" w:hAnsi="Arial" w:cs="Arial"/>
          <w:sz w:val="20"/>
          <w:szCs w:val="20"/>
        </w:rPr>
        <w:t xml:space="preserve"> частями 2 и 3 следующего содержания:</w:t>
      </w:r>
    </w:p>
    <w:p w:rsidR="004C4C2B" w:rsidRDefault="004C4C2B" w:rsidP="004C4C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утверждает исчерпывающие перечни процедур в сферах строит</w:t>
      </w:r>
      <w:bookmarkStart w:id="0" w:name="_GoBack"/>
      <w:bookmarkEnd w:id="0"/>
      <w:r>
        <w:rPr>
          <w:rFonts w:ascii="Arial" w:hAnsi="Arial" w:cs="Arial"/>
          <w:sz w:val="20"/>
          <w:szCs w:val="20"/>
        </w:rPr>
        <w:t>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4C4C2B" w:rsidRDefault="004C4C2B" w:rsidP="004C4C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proofErr w:type="gramStart"/>
      <w:r>
        <w:rPr>
          <w:rFonts w:ascii="Arial" w:hAnsi="Arial" w:cs="Arial"/>
          <w:sz w:val="20"/>
          <w:szCs w:val="20"/>
        </w:rPr>
        <w:t>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roofErr w:type="gramEnd"/>
    </w:p>
    <w:p w:rsidR="004C4C2B" w:rsidRDefault="004C4C2B" w:rsidP="004C4C2B">
      <w:pPr>
        <w:autoSpaceDE w:val="0"/>
        <w:autoSpaceDN w:val="0"/>
        <w:adjustRightInd w:val="0"/>
        <w:spacing w:after="0" w:line="240" w:lineRule="auto"/>
        <w:ind w:firstLine="540"/>
        <w:jc w:val="both"/>
        <w:rPr>
          <w:rFonts w:ascii="Arial" w:hAnsi="Arial" w:cs="Arial"/>
          <w:sz w:val="20"/>
          <w:szCs w:val="20"/>
        </w:rPr>
      </w:pPr>
    </w:p>
    <w:p w:rsidR="004C4C2B" w:rsidRDefault="004C4C2B" w:rsidP="004C4C2B">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2</w:t>
      </w:r>
    </w:p>
    <w:p w:rsidR="004C4C2B" w:rsidRDefault="004C4C2B" w:rsidP="004C4C2B">
      <w:pPr>
        <w:autoSpaceDE w:val="0"/>
        <w:autoSpaceDN w:val="0"/>
        <w:adjustRightInd w:val="0"/>
        <w:spacing w:after="0" w:line="240" w:lineRule="auto"/>
        <w:ind w:firstLine="540"/>
        <w:jc w:val="both"/>
        <w:rPr>
          <w:rFonts w:ascii="Arial" w:hAnsi="Arial" w:cs="Arial"/>
          <w:sz w:val="20"/>
          <w:szCs w:val="20"/>
        </w:rPr>
      </w:pPr>
    </w:p>
    <w:p w:rsidR="004C4C2B" w:rsidRDefault="004C4C2B" w:rsidP="004C4C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Нормативные правовые акты субъектов Российской Федерации, муниципальные правовые акты подлежат приведению в соответствие с требованиями </w:t>
      </w:r>
      <w:hyperlink r:id="rId11" w:history="1">
        <w:r>
          <w:rPr>
            <w:rFonts w:ascii="Arial" w:hAnsi="Arial" w:cs="Arial"/>
            <w:color w:val="0000FF"/>
            <w:sz w:val="20"/>
            <w:szCs w:val="20"/>
          </w:rPr>
          <w:t>статьи 6</w:t>
        </w:r>
      </w:hyperlink>
      <w:r>
        <w:rPr>
          <w:rFonts w:ascii="Arial" w:hAnsi="Arial" w:cs="Arial"/>
          <w:sz w:val="20"/>
          <w:szCs w:val="20"/>
        </w:rPr>
        <w:t xml:space="preserve"> Градостроительного кодекса Российской Федерации (в редакции настоящего Федерального закона) не позднее чем в течение шести месяцев со дня утверждения Правительством Российской Федерации исчерпывающего </w:t>
      </w:r>
      <w:hyperlink r:id="rId12" w:history="1">
        <w:r>
          <w:rPr>
            <w:rFonts w:ascii="Arial" w:hAnsi="Arial" w:cs="Arial"/>
            <w:color w:val="0000FF"/>
            <w:sz w:val="20"/>
            <w:szCs w:val="20"/>
          </w:rPr>
          <w:t>перечня</w:t>
        </w:r>
      </w:hyperlink>
      <w:r>
        <w:rPr>
          <w:rFonts w:ascii="Arial" w:hAnsi="Arial" w:cs="Arial"/>
          <w:sz w:val="20"/>
          <w:szCs w:val="20"/>
        </w:rPr>
        <w:t xml:space="preserve"> процедур в соответствующей сфере строительства.</w:t>
      </w:r>
    </w:p>
    <w:p w:rsidR="004C4C2B" w:rsidRDefault="004C4C2B" w:rsidP="004C4C2B">
      <w:pPr>
        <w:autoSpaceDE w:val="0"/>
        <w:autoSpaceDN w:val="0"/>
        <w:adjustRightInd w:val="0"/>
        <w:spacing w:after="0" w:line="240" w:lineRule="auto"/>
        <w:ind w:firstLine="540"/>
        <w:jc w:val="both"/>
        <w:rPr>
          <w:rFonts w:ascii="Arial" w:hAnsi="Arial" w:cs="Arial"/>
          <w:sz w:val="20"/>
          <w:szCs w:val="20"/>
        </w:rPr>
      </w:pPr>
    </w:p>
    <w:p w:rsidR="004C4C2B" w:rsidRDefault="004C4C2B" w:rsidP="004C4C2B">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3</w:t>
      </w:r>
    </w:p>
    <w:p w:rsidR="004C4C2B" w:rsidRDefault="004C4C2B" w:rsidP="004C4C2B">
      <w:pPr>
        <w:autoSpaceDE w:val="0"/>
        <w:autoSpaceDN w:val="0"/>
        <w:adjustRightInd w:val="0"/>
        <w:spacing w:after="0" w:line="240" w:lineRule="auto"/>
        <w:ind w:firstLine="540"/>
        <w:jc w:val="both"/>
        <w:rPr>
          <w:rFonts w:ascii="Arial" w:hAnsi="Arial" w:cs="Arial"/>
          <w:sz w:val="20"/>
          <w:szCs w:val="20"/>
        </w:rPr>
      </w:pPr>
    </w:p>
    <w:p w:rsidR="004C4C2B" w:rsidRDefault="004C4C2B" w:rsidP="004C4C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4C4C2B" w:rsidRDefault="004C4C2B" w:rsidP="004C4C2B">
      <w:pPr>
        <w:autoSpaceDE w:val="0"/>
        <w:autoSpaceDN w:val="0"/>
        <w:adjustRightInd w:val="0"/>
        <w:spacing w:after="0" w:line="240" w:lineRule="auto"/>
        <w:ind w:firstLine="540"/>
        <w:jc w:val="both"/>
        <w:rPr>
          <w:rFonts w:ascii="Arial" w:hAnsi="Arial" w:cs="Arial"/>
          <w:sz w:val="20"/>
          <w:szCs w:val="20"/>
        </w:rPr>
      </w:pPr>
    </w:p>
    <w:p w:rsidR="004C4C2B" w:rsidRDefault="004C4C2B" w:rsidP="004C4C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4C4C2B" w:rsidRDefault="004C4C2B" w:rsidP="004C4C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C4C2B" w:rsidRDefault="004C4C2B" w:rsidP="004C4C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4C4C2B" w:rsidRDefault="004C4C2B" w:rsidP="004C4C2B">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4C4C2B" w:rsidRDefault="004C4C2B" w:rsidP="004C4C2B">
      <w:pPr>
        <w:autoSpaceDE w:val="0"/>
        <w:autoSpaceDN w:val="0"/>
        <w:adjustRightInd w:val="0"/>
        <w:spacing w:before="200" w:after="0" w:line="240" w:lineRule="auto"/>
        <w:rPr>
          <w:rFonts w:ascii="Arial" w:hAnsi="Arial" w:cs="Arial"/>
          <w:sz w:val="20"/>
          <w:szCs w:val="20"/>
        </w:rPr>
      </w:pPr>
      <w:r>
        <w:rPr>
          <w:rFonts w:ascii="Arial" w:hAnsi="Arial" w:cs="Arial"/>
          <w:sz w:val="20"/>
          <w:szCs w:val="20"/>
        </w:rPr>
        <w:t>20 апреля 2014 года</w:t>
      </w:r>
    </w:p>
    <w:p w:rsidR="004C4C2B" w:rsidRDefault="004C4C2B" w:rsidP="004C4C2B">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80-ФЗ</w:t>
      </w:r>
    </w:p>
    <w:p w:rsidR="004C4C2B" w:rsidRDefault="004C4C2B" w:rsidP="004C4C2B">
      <w:pPr>
        <w:autoSpaceDE w:val="0"/>
        <w:autoSpaceDN w:val="0"/>
        <w:adjustRightInd w:val="0"/>
        <w:spacing w:after="0" w:line="240" w:lineRule="auto"/>
        <w:ind w:firstLine="540"/>
        <w:jc w:val="both"/>
        <w:rPr>
          <w:rFonts w:ascii="Arial" w:hAnsi="Arial" w:cs="Arial"/>
          <w:sz w:val="20"/>
          <w:szCs w:val="20"/>
        </w:rPr>
      </w:pPr>
    </w:p>
    <w:p w:rsidR="004C4C2B" w:rsidRDefault="004C4C2B" w:rsidP="004C4C2B">
      <w:pPr>
        <w:autoSpaceDE w:val="0"/>
        <w:autoSpaceDN w:val="0"/>
        <w:adjustRightInd w:val="0"/>
        <w:spacing w:after="0" w:line="240" w:lineRule="auto"/>
        <w:ind w:firstLine="540"/>
        <w:jc w:val="both"/>
        <w:rPr>
          <w:rFonts w:ascii="Arial" w:hAnsi="Arial" w:cs="Arial"/>
          <w:sz w:val="20"/>
          <w:szCs w:val="20"/>
        </w:rPr>
      </w:pPr>
    </w:p>
    <w:p w:rsidR="009476FD" w:rsidRDefault="009476FD"/>
    <w:sectPr w:rsidR="009476FD" w:rsidSect="004C4C2B">
      <w:pgSz w:w="11906" w:h="16838"/>
      <w:pgMar w:top="1440"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F3"/>
    <w:rsid w:val="001452F3"/>
    <w:rsid w:val="004C4C2B"/>
    <w:rsid w:val="0094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D4C139E567082A7479F96F8198680BBA7BFFD119E18926D1502A07874E24F981F949332567323v6A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24D4C139E567082A7479F96F8198680BBA7BFFD119E18926D1502A07874E24F981F949332567323v6A3G" TargetMode="External"/><Relationship Id="rId12" Type="http://schemas.openxmlformats.org/officeDocument/2006/relationships/hyperlink" Target="consultantplus://offline/ref=824D4C139E567082A7479F96F8198680B8A0BFF6119718926D1502A07874E24F981F949332567327v6A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4D4C139E567082A7479F96F8198680BBA7BFFD119E18926D1502A07874E24F981F949332567324v6A4G" TargetMode="External"/><Relationship Id="rId11" Type="http://schemas.openxmlformats.org/officeDocument/2006/relationships/hyperlink" Target="consultantplus://offline/ref=824D4C139E567082A7479F96F8198680BBA9BCFF129318926D1502A07874E24F981F949332577B27v6A5G" TargetMode="External"/><Relationship Id="rId5" Type="http://schemas.openxmlformats.org/officeDocument/2006/relationships/hyperlink" Target="consultantplus://offline/ref=824D4C139E567082A7479F96F8198680BBA7BFFD119E18926D1502A078v7A4G" TargetMode="External"/><Relationship Id="rId10" Type="http://schemas.openxmlformats.org/officeDocument/2006/relationships/hyperlink" Target="consultantplus://offline/ref=824D4C139E567082A7479F96F8198680BBA7BFFD119E18926D1502A07874E24F981F949332567323v6A3G" TargetMode="External"/><Relationship Id="rId4" Type="http://schemas.openxmlformats.org/officeDocument/2006/relationships/webSettings" Target="webSettings.xml"/><Relationship Id="rId9" Type="http://schemas.openxmlformats.org/officeDocument/2006/relationships/hyperlink" Target="consultantplus://offline/ref=824D4C139E567082A7479F96F8198680BBA7BFFD119E18926D1502A07874E24F981F949332567323v6A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2017-12-13T06:00:00Z</dcterms:created>
  <dcterms:modified xsi:type="dcterms:W3CDTF">2017-12-13T06:08:00Z</dcterms:modified>
</cp:coreProperties>
</file>